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76" w:rsidRDefault="00497776" w:rsidP="00497776">
      <w:pPr>
        <w:spacing w:after="0" w:line="240" w:lineRule="auto"/>
        <w:rPr>
          <w:rFonts w:cs="Arial"/>
          <w:color w:val="333333"/>
          <w:sz w:val="24"/>
          <w:szCs w:val="24"/>
        </w:rPr>
      </w:pPr>
      <w:r w:rsidRPr="00497776">
        <w:rPr>
          <w:rFonts w:cs="Arial"/>
          <w:b/>
          <w:color w:val="333333"/>
          <w:sz w:val="36"/>
          <w:szCs w:val="36"/>
        </w:rPr>
        <w:t>Podpora za izvajanje operacij v okviru strategije lokalnega razvoja, ki ga vodi skupnost (CLLD)</w:t>
      </w:r>
      <w:r>
        <w:rPr>
          <w:rFonts w:cs="Arial"/>
          <w:b/>
          <w:color w:val="333333"/>
          <w:sz w:val="36"/>
          <w:szCs w:val="36"/>
        </w:rPr>
        <w:t xml:space="preserve"> </w:t>
      </w:r>
      <w:r w:rsidRPr="00497776">
        <w:rPr>
          <w:rFonts w:cs="Arial"/>
          <w:b/>
          <w:color w:val="333333"/>
          <w:sz w:val="36"/>
          <w:szCs w:val="36"/>
        </w:rPr>
        <w:t>/ LEADER</w:t>
      </w:r>
      <w:r w:rsidRPr="00497776">
        <w:rPr>
          <w:rFonts w:cs="Arial"/>
          <w:color w:val="333333"/>
          <w:sz w:val="36"/>
          <w:szCs w:val="36"/>
        </w:rPr>
        <w:t xml:space="preserve"> </w:t>
      </w:r>
    </w:p>
    <w:p w:rsidR="00497776" w:rsidRPr="00497776" w:rsidRDefault="00497776" w:rsidP="00497776">
      <w:pPr>
        <w:spacing w:after="0" w:line="240" w:lineRule="auto"/>
        <w:rPr>
          <w:rFonts w:cs="Arial"/>
          <w:color w:val="333333"/>
          <w:sz w:val="32"/>
          <w:szCs w:val="32"/>
        </w:rPr>
      </w:pPr>
      <w:r w:rsidRPr="00497776">
        <w:rPr>
          <w:rFonts w:cs="Arial"/>
          <w:color w:val="333333"/>
          <w:sz w:val="32"/>
          <w:szCs w:val="32"/>
        </w:rPr>
        <w:t>podukrep 19.2</w:t>
      </w:r>
    </w:p>
    <w:p w:rsidR="00497776" w:rsidRDefault="00497776" w:rsidP="00497776">
      <w:pPr>
        <w:spacing w:after="0" w:line="240" w:lineRule="auto"/>
        <w:rPr>
          <w:rFonts w:cs="Arial"/>
          <w:color w:val="333333"/>
          <w:sz w:val="24"/>
          <w:szCs w:val="24"/>
        </w:rPr>
      </w:pPr>
    </w:p>
    <w:p w:rsidR="00497776" w:rsidRDefault="00497776" w:rsidP="00497776">
      <w:pPr>
        <w:spacing w:after="0" w:line="240" w:lineRule="auto"/>
        <w:rPr>
          <w:rFonts w:cs="Arial"/>
          <w:color w:val="333333"/>
          <w:sz w:val="24"/>
          <w:szCs w:val="24"/>
        </w:rPr>
      </w:pPr>
    </w:p>
    <w:p w:rsidR="008B7DC3" w:rsidRDefault="00AC459D">
      <w:pPr>
        <w:rPr>
          <w:rFonts w:cs="Arial"/>
          <w:b/>
          <w:color w:val="333333"/>
          <w:sz w:val="24"/>
          <w:szCs w:val="24"/>
        </w:rPr>
      </w:pPr>
      <w:r w:rsidRPr="00AC459D">
        <w:rPr>
          <w:rFonts w:cs="Arial"/>
          <w:color w:val="333333"/>
          <w:sz w:val="24"/>
          <w:szCs w:val="24"/>
        </w:rPr>
        <w:t xml:space="preserve">Kmetijsko gozdarski zavod Nova Gorica </w:t>
      </w:r>
      <w:r>
        <w:rPr>
          <w:rFonts w:cs="Arial"/>
          <w:color w:val="333333"/>
          <w:sz w:val="24"/>
          <w:szCs w:val="24"/>
        </w:rPr>
        <w:t xml:space="preserve">je </w:t>
      </w:r>
      <w:r w:rsidRPr="00AC459D">
        <w:rPr>
          <w:rFonts w:cs="Arial"/>
          <w:color w:val="333333"/>
          <w:sz w:val="24"/>
          <w:szCs w:val="24"/>
        </w:rPr>
        <w:t xml:space="preserve">v okviru </w:t>
      </w:r>
      <w:r>
        <w:rPr>
          <w:rFonts w:cs="Arial"/>
          <w:color w:val="333333"/>
          <w:sz w:val="24"/>
          <w:szCs w:val="24"/>
        </w:rPr>
        <w:t xml:space="preserve">podukrepa </w:t>
      </w:r>
      <w:r w:rsidR="00BC0F48">
        <w:rPr>
          <w:rFonts w:cs="Arial"/>
          <w:color w:val="333333"/>
          <w:sz w:val="24"/>
          <w:szCs w:val="24"/>
        </w:rPr>
        <w:t>19.</w:t>
      </w:r>
      <w:r w:rsidR="000024CF">
        <w:rPr>
          <w:rFonts w:cs="Arial"/>
          <w:color w:val="333333"/>
          <w:sz w:val="24"/>
          <w:szCs w:val="24"/>
        </w:rPr>
        <w:t xml:space="preserve">2 </w:t>
      </w:r>
      <w:r w:rsidRPr="001639ED">
        <w:rPr>
          <w:rFonts w:cs="Arial"/>
          <w:b/>
          <w:color w:val="333333"/>
          <w:sz w:val="24"/>
          <w:szCs w:val="24"/>
        </w:rPr>
        <w:t>Podpora za izvajanje operacij v okviru strategije lokalnega razvoja, ki ga vodi skupnost (CLLD)/ LEADER</w:t>
      </w:r>
      <w:r>
        <w:rPr>
          <w:rFonts w:cs="Arial"/>
          <w:color w:val="333333"/>
          <w:sz w:val="24"/>
          <w:szCs w:val="24"/>
        </w:rPr>
        <w:t xml:space="preserve"> prejemnik sredstev za operacijo </w:t>
      </w:r>
      <w:r w:rsidRPr="001639ED">
        <w:rPr>
          <w:rFonts w:cs="Arial"/>
          <w:b/>
          <w:color w:val="333333"/>
          <w:sz w:val="24"/>
          <w:szCs w:val="24"/>
        </w:rPr>
        <w:t>Užitni in čutni parki namenjeni medgeneracijskemu izobraževanju v smeri samooskrbe in trajnostnega razvoja podeželja na področju občin Postojna, Pivka in Ilirska Bistrica.</w:t>
      </w:r>
    </w:p>
    <w:p w:rsidR="00497776" w:rsidRPr="001639ED" w:rsidRDefault="00497776">
      <w:pPr>
        <w:rPr>
          <w:rFonts w:cs="Arial"/>
          <w:b/>
          <w:color w:val="333333"/>
          <w:sz w:val="24"/>
          <w:szCs w:val="24"/>
        </w:rPr>
      </w:pPr>
    </w:p>
    <w:p w:rsidR="00AC459D" w:rsidRDefault="00AC459D">
      <w:pPr>
        <w:rPr>
          <w:rFonts w:cs="Arial"/>
          <w:color w:val="333333"/>
          <w:sz w:val="24"/>
          <w:szCs w:val="24"/>
        </w:rPr>
      </w:pPr>
      <w:r w:rsidRPr="001639ED">
        <w:rPr>
          <w:rFonts w:cs="Arial"/>
          <w:b/>
          <w:color w:val="333333"/>
          <w:sz w:val="24"/>
          <w:szCs w:val="24"/>
        </w:rPr>
        <w:t xml:space="preserve">Partnerji </w:t>
      </w:r>
      <w:r w:rsidR="001639ED">
        <w:rPr>
          <w:rFonts w:cs="Arial"/>
          <w:b/>
          <w:color w:val="333333"/>
          <w:sz w:val="24"/>
          <w:szCs w:val="24"/>
        </w:rPr>
        <w:t>v operaciji</w:t>
      </w:r>
      <w:r w:rsidRPr="001639ED">
        <w:rPr>
          <w:rFonts w:cs="Arial"/>
          <w:b/>
          <w:color w:val="333333"/>
          <w:sz w:val="24"/>
          <w:szCs w:val="24"/>
        </w:rPr>
        <w:t>:</w:t>
      </w:r>
      <w:r>
        <w:rPr>
          <w:rFonts w:cs="Arial"/>
          <w:color w:val="333333"/>
          <w:sz w:val="24"/>
          <w:szCs w:val="24"/>
        </w:rPr>
        <w:t xml:space="preserve"> Zavod Znanje Postojna, Občina Pivka, Občina Postojna, OŠ Antona Žnideršiča Ilirska Bistrica, Kmetijsko gozdarski zavod Nova Gorica, OŠ Rudolfa Ukoviča Podgrad, Zdenka Žakelj s.p.</w:t>
      </w:r>
    </w:p>
    <w:p w:rsidR="00497776" w:rsidRDefault="00497776">
      <w:pPr>
        <w:rPr>
          <w:rFonts w:cs="Arial"/>
          <w:color w:val="333333"/>
          <w:sz w:val="24"/>
          <w:szCs w:val="24"/>
        </w:rPr>
      </w:pPr>
    </w:p>
    <w:p w:rsidR="00AC459D" w:rsidRPr="001639ED" w:rsidRDefault="00AC459D">
      <w:pPr>
        <w:rPr>
          <w:rFonts w:cs="Arial"/>
          <w:b/>
          <w:color w:val="333333"/>
          <w:sz w:val="24"/>
          <w:szCs w:val="24"/>
        </w:rPr>
      </w:pPr>
      <w:r w:rsidRPr="001639ED">
        <w:rPr>
          <w:rFonts w:cs="Arial"/>
          <w:b/>
          <w:color w:val="333333"/>
          <w:sz w:val="24"/>
          <w:szCs w:val="24"/>
        </w:rPr>
        <w:t>Cilji operacije:</w:t>
      </w:r>
    </w:p>
    <w:p w:rsidR="00AC459D" w:rsidRDefault="00AC459D" w:rsidP="00AC459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 w:rsidRPr="00AC459D">
        <w:rPr>
          <w:rFonts w:cs="Arial"/>
          <w:color w:val="333333"/>
          <w:sz w:val="24"/>
          <w:szCs w:val="24"/>
        </w:rPr>
        <w:t xml:space="preserve"> Iz</w:t>
      </w:r>
      <w:r>
        <w:rPr>
          <w:rFonts w:cs="Arial"/>
          <w:color w:val="333333"/>
          <w:sz w:val="24"/>
          <w:szCs w:val="24"/>
        </w:rPr>
        <w:t>boljšati kvaliteto bivanja na podeželju za vse generacije in ranljive skupine,</w:t>
      </w:r>
    </w:p>
    <w:p w:rsidR="00AC459D" w:rsidRDefault="00126FCD" w:rsidP="00AC459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s</w:t>
      </w:r>
      <w:r w:rsidR="00AC459D">
        <w:rPr>
          <w:rFonts w:cs="Arial"/>
          <w:color w:val="333333"/>
          <w:sz w:val="24"/>
          <w:szCs w:val="24"/>
        </w:rPr>
        <w:t>podbuditi medgeneracijsko sodelovanje in spoštovanje javne oziroma skupne lastnine ter skrb zanjo,</w:t>
      </w:r>
    </w:p>
    <w:p w:rsidR="00AC459D" w:rsidRDefault="00AC459D" w:rsidP="00AC459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ohraniti naravno (avtohtone rastline) in kulturno dediščino (tradicionalna znanja, vezana na kmetovanje),</w:t>
      </w:r>
    </w:p>
    <w:p w:rsidR="00AC459D" w:rsidRDefault="00126FCD" w:rsidP="00AC459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razvoj novih produktov in s tem delovnih mest (npr. turistični ogledi primera dobre prakse, izvajanje interesne dejavnosti na šoli ipd).</w:t>
      </w:r>
    </w:p>
    <w:p w:rsidR="00497776" w:rsidRDefault="00497776" w:rsidP="00497776">
      <w:pPr>
        <w:rPr>
          <w:rFonts w:cs="Arial"/>
          <w:color w:val="333333"/>
          <w:sz w:val="24"/>
          <w:szCs w:val="24"/>
        </w:rPr>
      </w:pPr>
    </w:p>
    <w:p w:rsidR="00497776" w:rsidRDefault="00497776" w:rsidP="00497776">
      <w:pPr>
        <w:rPr>
          <w:rFonts w:cs="Arial"/>
          <w:color w:val="333333"/>
          <w:sz w:val="24"/>
          <w:szCs w:val="24"/>
        </w:rPr>
      </w:pPr>
    </w:p>
    <w:p w:rsidR="00511FDA" w:rsidRDefault="00511FDA" w:rsidP="00497776">
      <w:pPr>
        <w:rPr>
          <w:rFonts w:cs="Arial"/>
          <w:color w:val="333333"/>
          <w:sz w:val="24"/>
          <w:szCs w:val="24"/>
        </w:rPr>
      </w:pPr>
    </w:p>
    <w:p w:rsidR="00126FCD" w:rsidRPr="001639ED" w:rsidRDefault="00126FCD" w:rsidP="00126FCD">
      <w:pPr>
        <w:rPr>
          <w:rFonts w:cs="Arial"/>
          <w:b/>
          <w:color w:val="333333"/>
          <w:sz w:val="24"/>
          <w:szCs w:val="24"/>
        </w:rPr>
      </w:pPr>
      <w:bookmarkStart w:id="0" w:name="_GoBack"/>
      <w:bookmarkEnd w:id="0"/>
      <w:r w:rsidRPr="001639ED">
        <w:rPr>
          <w:rFonts w:cs="Arial"/>
          <w:b/>
          <w:color w:val="333333"/>
          <w:sz w:val="24"/>
          <w:szCs w:val="24"/>
        </w:rPr>
        <w:lastRenderedPageBreak/>
        <w:t>Rezultati operacije:</w:t>
      </w:r>
    </w:p>
    <w:p w:rsidR="00126FCD" w:rsidRDefault="00126FCD" w:rsidP="00126FC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Izvedbeni načrt ureditve UČP (2X) in sicer kot ureditev UČP na javnih površinah oziroma za javnost in primer ureditve UČP za namene izobraževalnih aktivnosti na zasebnih površinah,</w:t>
      </w:r>
    </w:p>
    <w:p w:rsidR="00126FCD" w:rsidRDefault="001639ED" w:rsidP="00126FC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Urejeni 3 UČP namen katerih bo pridelava užitnih rastlin, hkrati pa bodo služili kot učilnice v naravi za vse generacije,</w:t>
      </w:r>
    </w:p>
    <w:p w:rsidR="001639ED" w:rsidRDefault="001639ED" w:rsidP="00126FC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5 animacijskih delavnic za oblikovanje idejne zasnove UČP Pivka</w:t>
      </w:r>
    </w:p>
    <w:p w:rsidR="001639ED" w:rsidRDefault="001639ED" w:rsidP="00126FC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14 izvedenih strokovnih delavnic za zainteresirano javnost</w:t>
      </w:r>
    </w:p>
    <w:p w:rsidR="001639ED" w:rsidRDefault="001639ED" w:rsidP="00126FC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kmetijski krožek na dveh osnovnih šolah,</w:t>
      </w:r>
    </w:p>
    <w:p w:rsidR="001639ED" w:rsidRDefault="001639ED" w:rsidP="00126FC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250 udeležencev delavnic,</w:t>
      </w:r>
    </w:p>
    <w:p w:rsidR="001639ED" w:rsidRDefault="001639ED" w:rsidP="00126FC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10 x objava v medijih</w:t>
      </w:r>
    </w:p>
    <w:p w:rsidR="001639ED" w:rsidRDefault="001639ED" w:rsidP="00126FCD">
      <w:pPr>
        <w:pStyle w:val="Odstavekseznama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1 potujoča razstava</w:t>
      </w:r>
    </w:p>
    <w:p w:rsidR="007B72A7" w:rsidRDefault="001639ED" w:rsidP="00B114E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114E1">
        <w:rPr>
          <w:rFonts w:cs="Arial"/>
          <w:color w:val="333333"/>
          <w:sz w:val="24"/>
          <w:szCs w:val="24"/>
        </w:rPr>
        <w:t xml:space="preserve">1 predstavitev na javnem dogodku </w:t>
      </w:r>
    </w:p>
    <w:p w:rsidR="007B72A7" w:rsidRPr="007B72A7" w:rsidRDefault="007B72A7" w:rsidP="007B72A7"/>
    <w:p w:rsidR="007B72A7" w:rsidRPr="007B72A7" w:rsidRDefault="007B72A7" w:rsidP="007B72A7"/>
    <w:p w:rsidR="007B72A7" w:rsidRDefault="007B72A7" w:rsidP="007B72A7"/>
    <w:p w:rsidR="00B114E1" w:rsidRPr="007B72A7" w:rsidRDefault="007B72A7" w:rsidP="007B72A7">
      <w:pPr>
        <w:tabs>
          <w:tab w:val="left" w:pos="1777"/>
        </w:tabs>
      </w:pPr>
      <w:r>
        <w:tab/>
      </w:r>
    </w:p>
    <w:sectPr w:rsidR="00B114E1" w:rsidRPr="007B72A7" w:rsidSect="00511FDA">
      <w:footerReference w:type="default" r:id="rId7"/>
      <w:pgSz w:w="11906" w:h="16838"/>
      <w:pgMar w:top="1702" w:right="1417" w:bottom="567" w:left="1417" w:header="708" w:footer="1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35" w:rsidRDefault="00291335" w:rsidP="00B114E1">
      <w:pPr>
        <w:spacing w:after="0" w:line="240" w:lineRule="auto"/>
      </w:pPr>
      <w:r>
        <w:separator/>
      </w:r>
    </w:p>
  </w:endnote>
  <w:endnote w:type="continuationSeparator" w:id="0">
    <w:p w:rsidR="00291335" w:rsidRDefault="00291335" w:rsidP="00B1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E1" w:rsidRDefault="00511FDA" w:rsidP="00B114E1">
    <w:pPr>
      <w:pStyle w:val="Noga"/>
      <w:ind w:left="-1134"/>
    </w:pPr>
    <w:r>
      <w:drawing>
        <wp:inline distT="0" distB="0" distL="0" distR="0">
          <wp:extent cx="7172243" cy="1793174"/>
          <wp:effectExtent l="0" t="0" r="0" b="0"/>
          <wp:docPr id="23" name="Slika 23" descr="C:\Users\ninafd.ZAVODGO\AppData\Local\Microsoft\Windows\INetCache\Content.Word\CL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fd.ZAVODGO\AppData\Local\Microsoft\Windows\INetCache\Content.Word\CLL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33" cy="181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35" w:rsidRDefault="00291335" w:rsidP="00B114E1">
      <w:pPr>
        <w:spacing w:after="0" w:line="240" w:lineRule="auto"/>
      </w:pPr>
      <w:r>
        <w:separator/>
      </w:r>
    </w:p>
  </w:footnote>
  <w:footnote w:type="continuationSeparator" w:id="0">
    <w:p w:rsidR="00291335" w:rsidRDefault="00291335" w:rsidP="00B1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CFF"/>
    <w:multiLevelType w:val="hybridMultilevel"/>
    <w:tmpl w:val="346C6F14"/>
    <w:lvl w:ilvl="0" w:tplc="9D50AD4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9D"/>
    <w:rsid w:val="000024CF"/>
    <w:rsid w:val="00126FCD"/>
    <w:rsid w:val="001639ED"/>
    <w:rsid w:val="00291335"/>
    <w:rsid w:val="003135DA"/>
    <w:rsid w:val="00497776"/>
    <w:rsid w:val="00511FDA"/>
    <w:rsid w:val="007B72A7"/>
    <w:rsid w:val="008B7DC3"/>
    <w:rsid w:val="00905C67"/>
    <w:rsid w:val="00AC459D"/>
    <w:rsid w:val="00B114E1"/>
    <w:rsid w:val="00BC0F48"/>
    <w:rsid w:val="00E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0C84"/>
  <w15:docId w15:val="{90558AC4-CED9-4882-A2C4-630C47B1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5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4E1"/>
    <w:rPr>
      <w:rFonts w:ascii="Segoe UI" w:hAnsi="Segoe UI" w:cs="Segoe UI"/>
      <w:noProof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1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14E1"/>
    <w:rPr>
      <w:noProof/>
    </w:rPr>
  </w:style>
  <w:style w:type="paragraph" w:styleId="Noga">
    <w:name w:val="footer"/>
    <w:basedOn w:val="Navaden"/>
    <w:link w:val="NogaZnak"/>
    <w:uiPriority w:val="99"/>
    <w:unhideWhenUsed/>
    <w:rsid w:val="00B1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14E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DarjaZ</dc:creator>
  <cp:lastModifiedBy>Nina Fiorelli Derman</cp:lastModifiedBy>
  <cp:revision>7</cp:revision>
  <cp:lastPrinted>2018-03-02T14:52:00Z</cp:lastPrinted>
  <dcterms:created xsi:type="dcterms:W3CDTF">2018-03-02T14:52:00Z</dcterms:created>
  <dcterms:modified xsi:type="dcterms:W3CDTF">2018-03-02T15:30:00Z</dcterms:modified>
</cp:coreProperties>
</file>